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B0A71" w14:textId="77777777" w:rsidR="00405757" w:rsidRPr="00405757" w:rsidRDefault="00405757" w:rsidP="00405757">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405757">
        <w:rPr>
          <w:rFonts w:ascii="Lato" w:eastAsia="Times New Roman" w:hAnsi="Lato" w:cs="Times New Roman"/>
          <w:color w:val="CC3300"/>
          <w:kern w:val="36"/>
          <w:sz w:val="36"/>
          <w:szCs w:val="36"/>
          <w:lang w:eastAsia="fr-BE"/>
          <w14:ligatures w14:val="none"/>
        </w:rPr>
        <w:t>Norsk Hydro gèle ses investissements dans les énergies vertes</w:t>
      </w:r>
    </w:p>
    <w:p w14:paraId="3F290B65" w14:textId="77777777" w:rsidR="00405757" w:rsidRDefault="00405757" w:rsidP="00405757">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579D1737" w14:textId="303011D6" w:rsidR="00405757" w:rsidRPr="00405757" w:rsidRDefault="00405757" w:rsidP="0040575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757">
        <w:rPr>
          <w:rFonts w:ascii="Lato" w:eastAsia="Times New Roman" w:hAnsi="Lato" w:cs="Times New Roman"/>
          <w:b/>
          <w:bCs/>
          <w:color w:val="000000"/>
          <w:kern w:val="0"/>
          <w:sz w:val="23"/>
          <w:szCs w:val="23"/>
          <w:lang w:eastAsia="fr-BE"/>
          <w14:ligatures w14:val="none"/>
        </w:rPr>
        <w:t>Norsk Hydro a indiqué que, dans un premier temps, il gelait ses investissements dans l’hydrogène vert et les batteries pour, dans un deuxième, les sortir de son périmètre d’activité.</w:t>
      </w:r>
    </w:p>
    <w:p w14:paraId="40907478" w14:textId="77777777" w:rsidR="00405757" w:rsidRPr="00405757" w:rsidRDefault="00405757" w:rsidP="0040575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757">
        <w:rPr>
          <w:rFonts w:ascii="Lato" w:eastAsia="Times New Roman" w:hAnsi="Lato" w:cs="Times New Roman"/>
          <w:color w:val="000000"/>
          <w:kern w:val="0"/>
          <w:sz w:val="23"/>
          <w:szCs w:val="23"/>
          <w:lang w:eastAsia="fr-BE"/>
          <w14:ligatures w14:val="none"/>
        </w:rPr>
        <w:t> </w:t>
      </w:r>
    </w:p>
    <w:p w14:paraId="00D0F11F" w14:textId="77777777" w:rsidR="00405757" w:rsidRPr="00405757" w:rsidRDefault="00405757" w:rsidP="0040575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757">
        <w:rPr>
          <w:rFonts w:ascii="Lato" w:eastAsia="Times New Roman" w:hAnsi="Lato" w:cs="Times New Roman"/>
          <w:color w:val="000000"/>
          <w:kern w:val="0"/>
          <w:sz w:val="23"/>
          <w:szCs w:val="23"/>
          <w:lang w:eastAsia="fr-BE"/>
          <w14:ligatures w14:val="none"/>
        </w:rPr>
        <w:t>Le producteur d’aluminium est l’un des derniers groupes industriels à sortir des énergies vertes en raison de l’environnement difficile. « </w:t>
      </w:r>
      <w:r w:rsidRPr="00405757">
        <w:rPr>
          <w:rFonts w:ascii="Lato" w:eastAsia="Times New Roman" w:hAnsi="Lato" w:cs="Times New Roman"/>
          <w:i/>
          <w:iCs/>
          <w:color w:val="000000"/>
          <w:kern w:val="0"/>
          <w:sz w:val="23"/>
          <w:szCs w:val="23"/>
          <w:lang w:eastAsia="fr-BE"/>
          <w14:ligatures w14:val="none"/>
        </w:rPr>
        <w:t>Les matériaux de batteries et l’hydrogène ne feront plus partie des secteurs de croissance stratégique d’Hydro et aucun investissement supplémentaire n’y sera désormais alloué</w:t>
      </w:r>
      <w:r w:rsidRPr="00405757">
        <w:rPr>
          <w:rFonts w:ascii="Lato" w:eastAsia="Times New Roman" w:hAnsi="Lato" w:cs="Times New Roman"/>
          <w:color w:val="000000"/>
          <w:kern w:val="0"/>
          <w:sz w:val="23"/>
          <w:szCs w:val="23"/>
          <w:lang w:eastAsia="fr-BE"/>
          <w14:ligatures w14:val="none"/>
        </w:rPr>
        <w:t> », a déclaré le groupe dans un communiqué, en amont d’une réunion avec les actionnaires. Le groupe préfère se concentrer sur le recyclage de l’aluminium et les produits extrudés.</w:t>
      </w:r>
    </w:p>
    <w:p w14:paraId="6ABED759" w14:textId="77777777" w:rsidR="00405757" w:rsidRPr="00405757" w:rsidRDefault="00405757" w:rsidP="0040575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757">
        <w:rPr>
          <w:rFonts w:ascii="Lato" w:eastAsia="Times New Roman" w:hAnsi="Lato" w:cs="Times New Roman"/>
          <w:color w:val="000000"/>
          <w:kern w:val="0"/>
          <w:sz w:val="23"/>
          <w:szCs w:val="23"/>
          <w:lang w:eastAsia="fr-BE"/>
          <w14:ligatures w14:val="none"/>
        </w:rPr>
        <w:t>L’hydrogène, pierre angulaire du virage de l’Union européenne vers les énergies vertes, est en proie à des difficultés en raison de subventions trop faibles, de crainte d’excès d’offre et de concurrence accrue de produits d’origine hors UE, en particulier chinois, vendus au rabais.</w:t>
      </w:r>
    </w:p>
    <w:p w14:paraId="36586E2A" w14:textId="77777777" w:rsidR="00405757" w:rsidRPr="00405757" w:rsidRDefault="00405757" w:rsidP="0040575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757">
        <w:rPr>
          <w:rFonts w:ascii="Lato" w:eastAsia="Times New Roman" w:hAnsi="Lato" w:cs="Times New Roman"/>
          <w:color w:val="000000"/>
          <w:kern w:val="0"/>
          <w:sz w:val="23"/>
          <w:szCs w:val="23"/>
          <w:lang w:eastAsia="fr-BE"/>
          <w14:ligatures w14:val="none"/>
        </w:rPr>
        <w:t>Les volumes de production d’aluminium du groupe, en Europe, ont reculé, impactés par le recul des ventes de véhicules électriques, qui découle de la fin des subventions en Allemagne pour l’achat d’un véhicule électrique et de la possible taxe européenne sur les importations chinoises de véhicules électriques. « </w:t>
      </w:r>
      <w:r w:rsidRPr="00405757">
        <w:rPr>
          <w:rFonts w:ascii="Lato" w:eastAsia="Times New Roman" w:hAnsi="Lato" w:cs="Times New Roman"/>
          <w:i/>
          <w:iCs/>
          <w:color w:val="000000"/>
          <w:kern w:val="0"/>
          <w:sz w:val="23"/>
          <w:szCs w:val="23"/>
          <w:lang w:eastAsia="fr-BE"/>
          <w14:ligatures w14:val="none"/>
        </w:rPr>
        <w:t>Difficile d’imaginer que la Chine puisse quitter le marché européen, où elle occupe 30 à 35 % des parts. La proportion va probablement demeurer</w:t>
      </w:r>
      <w:r w:rsidRPr="00405757">
        <w:rPr>
          <w:rFonts w:ascii="Lato" w:eastAsia="Times New Roman" w:hAnsi="Lato" w:cs="Times New Roman"/>
          <w:color w:val="000000"/>
          <w:kern w:val="0"/>
          <w:sz w:val="23"/>
          <w:szCs w:val="23"/>
          <w:lang w:eastAsia="fr-BE"/>
          <w14:ligatures w14:val="none"/>
        </w:rPr>
        <w:t> », a estimé Eivind Kallevich, pdg du groupe.</w:t>
      </w:r>
    </w:p>
    <w:p w14:paraId="798717B9" w14:textId="77777777" w:rsidR="00405757" w:rsidRPr="00405757" w:rsidRDefault="00405757" w:rsidP="0040575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757">
        <w:rPr>
          <w:rFonts w:ascii="Lato" w:eastAsia="Times New Roman" w:hAnsi="Lato" w:cs="Times New Roman"/>
          <w:b/>
          <w:bCs/>
          <w:color w:val="000000"/>
          <w:kern w:val="0"/>
          <w:sz w:val="23"/>
          <w:szCs w:val="23"/>
          <w:lang w:eastAsia="fr-BE"/>
          <w14:ligatures w14:val="none"/>
        </w:rPr>
        <w:t>Hydro</w:t>
      </w:r>
      <w:r w:rsidRPr="00405757">
        <w:rPr>
          <w:rFonts w:ascii="Lato" w:eastAsia="Times New Roman" w:hAnsi="Lato" w:cs="Times New Roman"/>
          <w:color w:val="000000"/>
          <w:kern w:val="0"/>
          <w:sz w:val="23"/>
          <w:szCs w:val="23"/>
          <w:lang w:eastAsia="fr-BE"/>
          <w14:ligatures w14:val="none"/>
        </w:rPr>
        <w:t> a indiqué être plus exposé au segment des gros véhicules, qui contiennent davantage d’aluminium. </w:t>
      </w:r>
      <w:r w:rsidRPr="00405757">
        <w:rPr>
          <w:rFonts w:ascii="Lato" w:eastAsia="Times New Roman" w:hAnsi="Lato" w:cs="Times New Roman"/>
          <w:b/>
          <w:bCs/>
          <w:color w:val="000000"/>
          <w:kern w:val="0"/>
          <w:sz w:val="23"/>
          <w:szCs w:val="23"/>
          <w:lang w:eastAsia="fr-BE"/>
          <w14:ligatures w14:val="none"/>
        </w:rPr>
        <w:t>Hydro </w:t>
      </w:r>
      <w:r w:rsidRPr="00405757">
        <w:rPr>
          <w:rFonts w:ascii="Lato" w:eastAsia="Times New Roman" w:hAnsi="Lato" w:cs="Times New Roman"/>
          <w:color w:val="000000"/>
          <w:kern w:val="0"/>
          <w:sz w:val="23"/>
          <w:szCs w:val="23"/>
          <w:lang w:eastAsia="fr-BE"/>
          <w14:ligatures w14:val="none"/>
        </w:rPr>
        <w:t>a informé qu’il mettait en œuvre un programme de réduction des coûts, dont l’objectif est d’économiser 582 millions de dollars d’ici à 2030 pour renforcer ses activités de recyclage et de production de produits extrudés. L’aluminium vert, qui est au centre de la stratégie de croissance du groupe, est principalement produit à partir de déchets recyclés.</w:t>
      </w:r>
    </w:p>
    <w:p w14:paraId="4647985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7"/>
    <w:rsid w:val="00287462"/>
    <w:rsid w:val="00405757"/>
    <w:rsid w:val="00FC74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A530"/>
  <w15:chartTrackingRefBased/>
  <w15:docId w15:val="{3A3C6B0C-6BAC-4059-B6AD-DBE3B4A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5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05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0575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575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575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575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575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575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575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575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0575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0575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575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575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575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575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575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5757"/>
    <w:rPr>
      <w:rFonts w:eastAsiaTheme="majorEastAsia" w:cstheme="majorBidi"/>
      <w:color w:val="272727" w:themeColor="text1" w:themeTint="D8"/>
    </w:rPr>
  </w:style>
  <w:style w:type="paragraph" w:styleId="Titre">
    <w:name w:val="Title"/>
    <w:basedOn w:val="Normal"/>
    <w:next w:val="Normal"/>
    <w:link w:val="TitreCar"/>
    <w:uiPriority w:val="10"/>
    <w:qFormat/>
    <w:rsid w:val="00405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575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0575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575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5757"/>
    <w:pPr>
      <w:spacing w:before="160"/>
      <w:jc w:val="center"/>
    </w:pPr>
    <w:rPr>
      <w:i/>
      <w:iCs/>
      <w:color w:val="404040" w:themeColor="text1" w:themeTint="BF"/>
    </w:rPr>
  </w:style>
  <w:style w:type="character" w:customStyle="1" w:styleId="CitationCar">
    <w:name w:val="Citation Car"/>
    <w:basedOn w:val="Policepardfaut"/>
    <w:link w:val="Citation"/>
    <w:uiPriority w:val="29"/>
    <w:rsid w:val="00405757"/>
    <w:rPr>
      <w:i/>
      <w:iCs/>
      <w:color w:val="404040" w:themeColor="text1" w:themeTint="BF"/>
    </w:rPr>
  </w:style>
  <w:style w:type="paragraph" w:styleId="Paragraphedeliste">
    <w:name w:val="List Paragraph"/>
    <w:basedOn w:val="Normal"/>
    <w:uiPriority w:val="34"/>
    <w:qFormat/>
    <w:rsid w:val="00405757"/>
    <w:pPr>
      <w:ind w:left="720"/>
      <w:contextualSpacing/>
    </w:pPr>
  </w:style>
  <w:style w:type="character" w:styleId="Accentuationintense">
    <w:name w:val="Intense Emphasis"/>
    <w:basedOn w:val="Policepardfaut"/>
    <w:uiPriority w:val="21"/>
    <w:qFormat/>
    <w:rsid w:val="00405757"/>
    <w:rPr>
      <w:i/>
      <w:iCs/>
      <w:color w:val="0F4761" w:themeColor="accent1" w:themeShade="BF"/>
    </w:rPr>
  </w:style>
  <w:style w:type="paragraph" w:styleId="Citationintense">
    <w:name w:val="Intense Quote"/>
    <w:basedOn w:val="Normal"/>
    <w:next w:val="Normal"/>
    <w:link w:val="CitationintenseCar"/>
    <w:uiPriority w:val="30"/>
    <w:qFormat/>
    <w:rsid w:val="00405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5757"/>
    <w:rPr>
      <w:i/>
      <w:iCs/>
      <w:color w:val="0F4761" w:themeColor="accent1" w:themeShade="BF"/>
    </w:rPr>
  </w:style>
  <w:style w:type="character" w:styleId="Rfrenceintense">
    <w:name w:val="Intense Reference"/>
    <w:basedOn w:val="Policepardfaut"/>
    <w:uiPriority w:val="32"/>
    <w:qFormat/>
    <w:rsid w:val="004057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1686</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2024-12-09T08:27:00Z</dcterms:created>
  <dcterms:modified xsi:type="dcterms:W3CDTF">2024-12-09T08:27:00Z</dcterms:modified>
</cp:coreProperties>
</file>